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9163" w14:textId="73CC40C0" w:rsidR="004B0C18" w:rsidRPr="00D16D98" w:rsidRDefault="004B0C18" w:rsidP="006800A3">
      <w:pPr>
        <w:shd w:val="clear" w:color="auto" w:fill="D9E2F3" w:themeFill="accent1" w:themeFillTint="33"/>
        <w:spacing w:after="0"/>
        <w:ind w:left="-720" w:right="-1584" w:firstLine="720"/>
        <w:rPr>
          <w:rFonts w:ascii="Cambria" w:hAnsi="Cambria"/>
          <w:b/>
          <w:bCs/>
          <w:sz w:val="36"/>
          <w:szCs w:val="36"/>
        </w:rPr>
      </w:pPr>
      <w:r w:rsidRPr="00D16D98">
        <w:rPr>
          <w:rFonts w:ascii="Cambria" w:hAnsi="Cambria"/>
          <w:b/>
          <w:bCs/>
          <w:sz w:val="36"/>
          <w:szCs w:val="36"/>
        </w:rPr>
        <w:t xml:space="preserve">Cynthia Urrutia </w:t>
      </w:r>
    </w:p>
    <w:p w14:paraId="79DAB239" w14:textId="72E1ADE0" w:rsidR="004B0C18" w:rsidRPr="00240136" w:rsidRDefault="00E46F7E" w:rsidP="006800A3">
      <w:pPr>
        <w:shd w:val="clear" w:color="auto" w:fill="D9E2F3" w:themeFill="accent1" w:themeFillTint="33"/>
        <w:spacing w:after="0"/>
        <w:ind w:left="-720" w:right="-1584"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Toronto, Canada</w:t>
      </w:r>
      <w:r w:rsidR="004B0C18" w:rsidRPr="00240136">
        <w:rPr>
          <w:rFonts w:ascii="Cambria" w:hAnsi="Cambria"/>
          <w:sz w:val="22"/>
          <w:szCs w:val="22"/>
        </w:rPr>
        <w:t xml:space="preserve"> | cynthia.urrutia.ch@outlook.com | 1 (604) 830 - 7007 | linkedin.com/cynthia-urrutia</w:t>
      </w:r>
    </w:p>
    <w:p w14:paraId="3433E346" w14:textId="5F283845" w:rsidR="004B0C18" w:rsidRPr="00240136" w:rsidRDefault="00321FE3" w:rsidP="006800A3">
      <w:pPr>
        <w:shd w:val="clear" w:color="auto" w:fill="4472C4" w:themeFill="accent1"/>
        <w:spacing w:after="0"/>
        <w:ind w:left="-720" w:right="-720" w:firstLine="720"/>
        <w:rPr>
          <w:rFonts w:ascii="Cambria" w:hAnsi="Cambria"/>
          <w:color w:val="FFFFFF" w:themeColor="background1"/>
          <w:sz w:val="22"/>
          <w:szCs w:val="22"/>
        </w:rPr>
      </w:pPr>
      <w:r w:rsidRPr="00321FE3">
        <w:rPr>
          <w:rFonts w:ascii="Cambria" w:hAnsi="Cambria"/>
          <w:b/>
          <w:bCs/>
          <w:color w:val="FFFFFF" w:themeColor="background1"/>
          <w:sz w:val="26"/>
          <w:szCs w:val="26"/>
        </w:rPr>
        <w:t>Financial Markets &amp; Policy Research Analyst</w:t>
      </w:r>
    </w:p>
    <w:p w14:paraId="59169809" w14:textId="653D600B" w:rsidR="004B0C18" w:rsidRDefault="004B0C18" w:rsidP="00D16D98">
      <w:pPr>
        <w:spacing w:before="240" w:after="0" w:line="240" w:lineRule="auto"/>
        <w:jc w:val="both"/>
        <w:rPr>
          <w:sz w:val="22"/>
          <w:szCs w:val="22"/>
        </w:rPr>
      </w:pPr>
      <w:r w:rsidRPr="006800A3">
        <w:rPr>
          <w:b/>
          <w:bCs/>
          <w:sz w:val="22"/>
          <w:szCs w:val="22"/>
        </w:rPr>
        <w:t xml:space="preserve">Investment Analyst &amp; Fixed Income Senior Analyst with 6+ years of experience in finance across pension funds, </w:t>
      </w:r>
      <w:r w:rsidR="006800A3">
        <w:rPr>
          <w:b/>
          <w:bCs/>
          <w:sz w:val="22"/>
          <w:szCs w:val="22"/>
        </w:rPr>
        <w:t xml:space="preserve">investment </w:t>
      </w:r>
      <w:r w:rsidRPr="006800A3">
        <w:rPr>
          <w:b/>
          <w:bCs/>
          <w:sz w:val="22"/>
          <w:szCs w:val="22"/>
        </w:rPr>
        <w:t xml:space="preserve">banking, and global </w:t>
      </w:r>
      <w:r w:rsidR="006800A3">
        <w:rPr>
          <w:b/>
          <w:bCs/>
          <w:sz w:val="22"/>
          <w:szCs w:val="22"/>
        </w:rPr>
        <w:t xml:space="preserve">finance </w:t>
      </w:r>
      <w:r w:rsidRPr="006800A3">
        <w:rPr>
          <w:b/>
          <w:bCs/>
          <w:sz w:val="22"/>
          <w:szCs w:val="22"/>
        </w:rPr>
        <w:t>markets.</w:t>
      </w:r>
      <w:r w:rsidRPr="006800A3">
        <w:rPr>
          <w:sz w:val="22"/>
          <w:szCs w:val="22"/>
        </w:rPr>
        <w:t xml:space="preserve"> </w:t>
      </w:r>
      <w:r w:rsidRPr="004B0C18">
        <w:rPr>
          <w:sz w:val="22"/>
          <w:szCs w:val="22"/>
        </w:rPr>
        <w:t>Core strengths include portfolio management, market analysis, and data-driven financial analysis. Managed a USD 7-billion portfolio while independently sustaining operations during a leadership transition. Supported 13% annual returns, generated consistent idea flow (~15 per month), and ensured portfolio continuity while training a new analyst. Holds a Master’s in Finance with advanced training in Applied Data Science.</w:t>
      </w:r>
    </w:p>
    <w:p w14:paraId="697724F9" w14:textId="336407EB" w:rsidR="004B0C18" w:rsidRPr="006800A3" w:rsidRDefault="004B0C18" w:rsidP="006800A3">
      <w:pPr>
        <w:pBdr>
          <w:bottom w:val="single" w:sz="8" w:space="1" w:color="4472C4" w:themeColor="accent1"/>
        </w:pBdr>
        <w:spacing w:before="240" w:after="0"/>
        <w:rPr>
          <w:rFonts w:ascii="Cambria" w:hAnsi="Cambria"/>
          <w:b/>
          <w:bCs/>
          <w:color w:val="4472C4" w:themeColor="accent1"/>
          <w:sz w:val="28"/>
          <w:szCs w:val="28"/>
        </w:rPr>
      </w:pPr>
      <w:r w:rsidRPr="006800A3">
        <w:rPr>
          <w:rFonts w:ascii="Cambria" w:hAnsi="Cambria"/>
          <w:b/>
          <w:bCs/>
          <w:color w:val="4472C4" w:themeColor="accent1"/>
          <w:sz w:val="28"/>
          <w:szCs w:val="28"/>
        </w:rPr>
        <w:t>Skills</w:t>
      </w:r>
    </w:p>
    <w:p w14:paraId="08EDFEFE" w14:textId="40D2E1B3" w:rsidR="004B0C18" w:rsidRDefault="004B0C18" w:rsidP="00D16D98">
      <w:pPr>
        <w:spacing w:after="0" w:line="240" w:lineRule="auto"/>
        <w:jc w:val="both"/>
        <w:rPr>
          <w:sz w:val="22"/>
          <w:szCs w:val="22"/>
        </w:rPr>
      </w:pPr>
      <w:r w:rsidRPr="004B0C18">
        <w:rPr>
          <w:sz w:val="22"/>
          <w:szCs w:val="22"/>
        </w:rPr>
        <w:t xml:space="preserve">Portfolio Management | Credit Risk Analysis | High-Yield Analysis | Country Risk Assessment | Asset Management | Liquidity Management | Financial Modeling | Macroeconomic &amp; Market Analysis | Equity Research Analysis </w:t>
      </w:r>
    </w:p>
    <w:p w14:paraId="4E3FD8CE" w14:textId="3A9FBA14" w:rsidR="006800A3" w:rsidRPr="005D0793" w:rsidRDefault="006800A3" w:rsidP="006800A3">
      <w:pPr>
        <w:numPr>
          <w:ilvl w:val="0"/>
          <w:numId w:val="8"/>
        </w:numPr>
        <w:tabs>
          <w:tab w:val="right" w:pos="10080"/>
        </w:tabs>
        <w:spacing w:after="0" w:line="276" w:lineRule="auto"/>
        <w:ind w:left="360"/>
        <w:jc w:val="both"/>
        <w:rPr>
          <w:rFonts w:eastAsia="Arial" w:cstheme="minorHAnsi"/>
          <w:color w:val="000000" w:themeColor="text1"/>
          <w:sz w:val="22"/>
          <w:szCs w:val="22"/>
        </w:rPr>
      </w:pPr>
      <w:r w:rsidRPr="005D0793">
        <w:rPr>
          <w:b/>
          <w:bCs/>
          <w:sz w:val="22"/>
          <w:szCs w:val="22"/>
        </w:rPr>
        <w:t>Technical Tools:</w:t>
      </w:r>
      <w:r>
        <w:rPr>
          <w:sz w:val="22"/>
          <w:szCs w:val="22"/>
        </w:rPr>
        <w:t xml:space="preserve"> </w:t>
      </w:r>
      <w:r w:rsidRPr="005D0793">
        <w:rPr>
          <w:rFonts w:eastAsia="Arial" w:cstheme="minorHAnsi"/>
          <w:color w:val="000000" w:themeColor="text1"/>
          <w:sz w:val="22"/>
          <w:szCs w:val="22"/>
        </w:rPr>
        <w:t>Bloomberg, FactSet, S&amp;P Capital IQ, Python, Java, VBA, R, PySpark, MongoDB</w:t>
      </w:r>
    </w:p>
    <w:p w14:paraId="69D18909" w14:textId="77777777" w:rsidR="0031686B" w:rsidRPr="006800A3" w:rsidRDefault="0031686B" w:rsidP="006800A3">
      <w:pPr>
        <w:pBdr>
          <w:bottom w:val="single" w:sz="8" w:space="1" w:color="4472C4" w:themeColor="accent1"/>
        </w:pBdr>
        <w:spacing w:before="240" w:after="0"/>
        <w:rPr>
          <w:rFonts w:ascii="Cambria" w:hAnsi="Cambria"/>
          <w:color w:val="4472C4" w:themeColor="accent1"/>
          <w:sz w:val="28"/>
          <w:szCs w:val="28"/>
        </w:rPr>
      </w:pPr>
      <w:r w:rsidRPr="006800A3">
        <w:rPr>
          <w:rFonts w:ascii="Cambria" w:hAnsi="Cambria"/>
          <w:b/>
          <w:bCs/>
          <w:color w:val="4472C4" w:themeColor="accent1"/>
          <w:sz w:val="28"/>
          <w:szCs w:val="28"/>
        </w:rPr>
        <w:t>Professional Experience</w:t>
      </w:r>
    </w:p>
    <w:p w14:paraId="26830752" w14:textId="77777777" w:rsidR="0031686B" w:rsidRPr="006800A3" w:rsidRDefault="0031686B" w:rsidP="006800A3">
      <w:pPr>
        <w:shd w:val="clear" w:color="auto" w:fill="D9E2F3" w:themeFill="accent1" w:themeFillTint="33"/>
        <w:spacing w:after="0"/>
        <w:jc w:val="center"/>
      </w:pPr>
      <w:r w:rsidRPr="006800A3">
        <w:rPr>
          <w:b/>
          <w:bCs/>
        </w:rPr>
        <w:t>Tax Associate (Seasonal) | H&amp;R Block | Canada | 01/2026 - present</w:t>
      </w:r>
    </w:p>
    <w:p w14:paraId="5232C6E4" w14:textId="2614AF1B" w:rsidR="00B8475F" w:rsidRPr="00B8475F" w:rsidRDefault="00B8475F" w:rsidP="00B8475F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B8475F">
        <w:rPr>
          <w:sz w:val="22"/>
          <w:szCs w:val="22"/>
        </w:rPr>
        <w:t>Prepared and reviewed individual tax returns in compliance with Canadian tax regulations, ensuring 100% accuracy and timely filing during peak tax season.</w:t>
      </w:r>
    </w:p>
    <w:p w14:paraId="540E1EFA" w14:textId="01050421" w:rsidR="00272145" w:rsidRDefault="00B8475F" w:rsidP="00B8475F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B8475F">
        <w:rPr>
          <w:sz w:val="22"/>
          <w:szCs w:val="22"/>
        </w:rPr>
        <w:t>Analyzed client financial documentation to identify eligible deductions, credits, and tax planning opportunities while maintaining strict regulatory compliance.</w:t>
      </w:r>
    </w:p>
    <w:p w14:paraId="08CC38F0" w14:textId="3D9B3A84" w:rsidR="007D2716" w:rsidRDefault="007D2716" w:rsidP="00B8475F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7D2716">
        <w:rPr>
          <w:sz w:val="22"/>
          <w:szCs w:val="22"/>
        </w:rPr>
        <w:t>Communicated complex tax concepts clearly to clients, helping them understand filing requirements and financial implications.</w:t>
      </w:r>
    </w:p>
    <w:p w14:paraId="55298D4F" w14:textId="17231A22" w:rsidR="0031686B" w:rsidRPr="006800A3" w:rsidRDefault="0031686B" w:rsidP="006800A3">
      <w:pPr>
        <w:shd w:val="clear" w:color="auto" w:fill="D9E2F3" w:themeFill="accent1" w:themeFillTint="33"/>
        <w:spacing w:before="240" w:after="0"/>
        <w:jc w:val="center"/>
        <w:rPr>
          <w:b/>
          <w:bCs/>
        </w:rPr>
      </w:pPr>
      <w:r w:rsidRPr="006800A3">
        <w:rPr>
          <w:b/>
          <w:bCs/>
        </w:rPr>
        <w:t xml:space="preserve">Fixed Income Senior Analyst | Provida Pension Fund | Chile | </w:t>
      </w:r>
      <w:r w:rsidR="009C13CF" w:rsidRPr="006800A3">
        <w:rPr>
          <w:b/>
          <w:bCs/>
        </w:rPr>
        <w:t>09/</w:t>
      </w:r>
      <w:r w:rsidRPr="006800A3">
        <w:rPr>
          <w:b/>
          <w:bCs/>
        </w:rPr>
        <w:t xml:space="preserve">21 – </w:t>
      </w:r>
      <w:r w:rsidR="009C13CF" w:rsidRPr="006800A3">
        <w:rPr>
          <w:b/>
          <w:bCs/>
        </w:rPr>
        <w:t>08/</w:t>
      </w:r>
      <w:r w:rsidRPr="006800A3">
        <w:rPr>
          <w:b/>
          <w:bCs/>
        </w:rPr>
        <w:t>23</w:t>
      </w:r>
    </w:p>
    <w:p w14:paraId="361EE977" w14:textId="77777777" w:rsidR="0031686B" w:rsidRPr="0031686B" w:rsidRDefault="0031686B" w:rsidP="00D16D98">
      <w:pPr>
        <w:spacing w:after="0" w:line="240" w:lineRule="auto"/>
        <w:jc w:val="both"/>
        <w:rPr>
          <w:sz w:val="22"/>
          <w:szCs w:val="22"/>
        </w:rPr>
      </w:pPr>
      <w:r w:rsidRPr="0031686B">
        <w:rPr>
          <w:sz w:val="22"/>
          <w:szCs w:val="22"/>
        </w:rPr>
        <w:t>Contributed to strategy development and trade execution for a ~$7B global fixed-income portfolio, collaborating with portfolio managers and external fund managers across U.S., European, and Emerging Markets.</w:t>
      </w:r>
    </w:p>
    <w:p w14:paraId="5AEF44EF" w14:textId="77777777" w:rsidR="0031686B" w:rsidRPr="0031686B" w:rsidRDefault="0031686B" w:rsidP="00D16D98">
      <w:pPr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 w:rsidRPr="0031686B">
        <w:rPr>
          <w:sz w:val="22"/>
          <w:szCs w:val="22"/>
        </w:rPr>
        <w:t>Supported management of a ~$7B fixed-income portfolio and executed trades across ~200 foreign funds and instruments, advising on trade timing for a ~$2B U.S. government bond position based on macro data and expected market impact.</w:t>
      </w:r>
    </w:p>
    <w:p w14:paraId="28346256" w14:textId="56130668" w:rsidR="0031686B" w:rsidRDefault="0031686B" w:rsidP="00D16D98">
      <w:pPr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 w:rsidRPr="0031686B">
        <w:rPr>
          <w:sz w:val="22"/>
          <w:szCs w:val="22"/>
        </w:rPr>
        <w:t>Developed global fixed-income investment strategies across developed and emerging markets, for pension mandates, collaborating with cross-functional teams to help deliver ~8–9% annual returns over a 2-year period across multiple funds.</w:t>
      </w:r>
    </w:p>
    <w:p w14:paraId="63F3F037" w14:textId="2740F172" w:rsidR="00C973CD" w:rsidRPr="0031686B" w:rsidRDefault="00C973CD" w:rsidP="00D16D98">
      <w:pPr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 w:rsidRPr="00C973CD">
        <w:rPr>
          <w:sz w:val="22"/>
          <w:szCs w:val="22"/>
        </w:rPr>
        <w:t>Monitored global fixed-income and currency markets to identify macroeconomic trends, liquidity conditions, and emerging risks affecting investment strategy.</w:t>
      </w:r>
    </w:p>
    <w:p w14:paraId="7CAD4B17" w14:textId="754A5418" w:rsidR="0031686B" w:rsidRPr="0031686B" w:rsidRDefault="0031686B" w:rsidP="00D16D98">
      <w:pPr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 w:rsidRPr="0031686B">
        <w:rPr>
          <w:sz w:val="22"/>
          <w:szCs w:val="22"/>
        </w:rPr>
        <w:t xml:space="preserve">Created automated Bloomberg- and Python-based dashboards to track </w:t>
      </w:r>
      <w:r w:rsidR="000F1050">
        <w:rPr>
          <w:sz w:val="22"/>
          <w:szCs w:val="22"/>
        </w:rPr>
        <w:t>market</w:t>
      </w:r>
      <w:r w:rsidRPr="0031686B">
        <w:rPr>
          <w:sz w:val="22"/>
          <w:szCs w:val="22"/>
        </w:rPr>
        <w:t xml:space="preserve"> and liquidity risks, support trading decisions, and ensure smooth handover of responsibilities.</w:t>
      </w:r>
    </w:p>
    <w:p w14:paraId="1F26A6FF" w14:textId="408AE6C2" w:rsidR="0031686B" w:rsidRPr="006800A3" w:rsidRDefault="0031686B" w:rsidP="006800A3">
      <w:pPr>
        <w:shd w:val="clear" w:color="auto" w:fill="D9E2F3" w:themeFill="accent1" w:themeFillTint="33"/>
        <w:spacing w:before="240" w:after="0"/>
        <w:jc w:val="center"/>
      </w:pPr>
      <w:r w:rsidRPr="006800A3">
        <w:rPr>
          <w:b/>
          <w:bCs/>
        </w:rPr>
        <w:t xml:space="preserve">Portfolio Strategist Analyst | Bice Bank | Chile | </w:t>
      </w:r>
      <w:r w:rsidR="009C13CF" w:rsidRPr="006800A3">
        <w:rPr>
          <w:b/>
          <w:bCs/>
        </w:rPr>
        <w:t>08/</w:t>
      </w:r>
      <w:r w:rsidRPr="006800A3">
        <w:rPr>
          <w:b/>
          <w:bCs/>
        </w:rPr>
        <w:t xml:space="preserve">17 – </w:t>
      </w:r>
      <w:r w:rsidR="009C13CF" w:rsidRPr="006800A3">
        <w:rPr>
          <w:b/>
          <w:bCs/>
        </w:rPr>
        <w:t>08/</w:t>
      </w:r>
      <w:r w:rsidRPr="006800A3">
        <w:rPr>
          <w:b/>
          <w:bCs/>
        </w:rPr>
        <w:t>21</w:t>
      </w:r>
    </w:p>
    <w:p w14:paraId="28E13F02" w14:textId="46B0B298" w:rsidR="0031686B" w:rsidRPr="0031686B" w:rsidRDefault="0031686B" w:rsidP="00D16D98">
      <w:pPr>
        <w:spacing w:after="0" w:line="240" w:lineRule="auto"/>
        <w:jc w:val="both"/>
        <w:rPr>
          <w:sz w:val="22"/>
          <w:szCs w:val="22"/>
        </w:rPr>
      </w:pPr>
      <w:r w:rsidRPr="0031686B">
        <w:rPr>
          <w:sz w:val="22"/>
          <w:szCs w:val="22"/>
        </w:rPr>
        <w:t>Held a dual equity research and portfolio strategy role, covering 20-30 LATAM financial institutions and supporting fixed-income portfolio recommendations across client segments.</w:t>
      </w:r>
    </w:p>
    <w:p w14:paraId="643AF64F" w14:textId="77777777" w:rsidR="0031686B" w:rsidRPr="0031686B" w:rsidRDefault="0031686B" w:rsidP="00D16D98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31686B">
        <w:rPr>
          <w:sz w:val="22"/>
          <w:szCs w:val="22"/>
        </w:rPr>
        <w:t>Evaluated portfolio structure and profitability across five risk-based strategies, providing data-driven recommendations that influenced asset allocation decisions and supported performance and client retention in a competitive market.</w:t>
      </w:r>
    </w:p>
    <w:p w14:paraId="45081296" w14:textId="77777777" w:rsidR="0031686B" w:rsidRPr="0031686B" w:rsidRDefault="0031686B" w:rsidP="00D16D98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31686B">
        <w:rPr>
          <w:sz w:val="22"/>
          <w:szCs w:val="22"/>
        </w:rPr>
        <w:t>Prepared 40+ investment presentations and 30 fixed-income market studies for internal committees, supporting monthly portfolio decisions and ongoing performance monitoring across institutional and retail strategies.</w:t>
      </w:r>
    </w:p>
    <w:p w14:paraId="61BDCED2" w14:textId="77777777" w:rsidR="0031686B" w:rsidRDefault="0031686B" w:rsidP="00D16D98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31686B">
        <w:rPr>
          <w:sz w:val="22"/>
          <w:szCs w:val="22"/>
        </w:rPr>
        <w:t>Created multi-factor monitoring frameworks over a 4-year period to evaluate prices, costs, and macro sensitivities across LATAM fixed-income assets, improving cross-market risk assessment and sovereign analysis.</w:t>
      </w:r>
    </w:p>
    <w:p w14:paraId="70006EAF" w14:textId="77777777" w:rsidR="005E48A4" w:rsidRDefault="005E48A4" w:rsidP="006800A3">
      <w:pPr>
        <w:pBdr>
          <w:bottom w:val="single" w:sz="8" w:space="1" w:color="4472C4" w:themeColor="accent1"/>
        </w:pBdr>
        <w:spacing w:before="240" w:after="0"/>
        <w:rPr>
          <w:rFonts w:ascii="Cambria" w:hAnsi="Cambria"/>
          <w:b/>
          <w:bCs/>
          <w:color w:val="4472C4" w:themeColor="accent1"/>
          <w:sz w:val="28"/>
          <w:szCs w:val="28"/>
        </w:rPr>
      </w:pPr>
    </w:p>
    <w:p w14:paraId="2A65EC38" w14:textId="3C8C5E0A" w:rsidR="00661721" w:rsidRPr="006800A3" w:rsidRDefault="00661721" w:rsidP="006800A3">
      <w:pPr>
        <w:pBdr>
          <w:bottom w:val="single" w:sz="8" w:space="1" w:color="4472C4" w:themeColor="accent1"/>
        </w:pBdr>
        <w:spacing w:before="240" w:after="0"/>
        <w:rPr>
          <w:rFonts w:ascii="Cambria" w:hAnsi="Cambria"/>
          <w:b/>
          <w:bCs/>
          <w:color w:val="4472C4" w:themeColor="accent1"/>
          <w:sz w:val="28"/>
          <w:szCs w:val="28"/>
        </w:rPr>
      </w:pPr>
      <w:r w:rsidRPr="006800A3">
        <w:rPr>
          <w:rFonts w:ascii="Cambria" w:hAnsi="Cambria"/>
          <w:b/>
          <w:bCs/>
          <w:color w:val="4472C4" w:themeColor="accent1"/>
          <w:sz w:val="28"/>
          <w:szCs w:val="28"/>
        </w:rPr>
        <w:lastRenderedPageBreak/>
        <w:t>Internship Experience</w:t>
      </w:r>
    </w:p>
    <w:p w14:paraId="2323DFA9" w14:textId="77777777" w:rsidR="00661721" w:rsidRPr="006800A3" w:rsidRDefault="00661721" w:rsidP="006800A3">
      <w:pPr>
        <w:shd w:val="clear" w:color="auto" w:fill="D9E2F3" w:themeFill="accent1" w:themeFillTint="33"/>
        <w:spacing w:after="0"/>
        <w:jc w:val="center"/>
        <w:rPr>
          <w:b/>
          <w:bCs/>
        </w:rPr>
      </w:pPr>
      <w:r w:rsidRPr="006800A3">
        <w:rPr>
          <w:b/>
          <w:bCs/>
        </w:rPr>
        <w:t>Sales &amp;Trading Intern (Latam FX &amp; Interest Rate Solutions) | Scotiabank |Canada | 01/25 – 05/25</w:t>
      </w:r>
    </w:p>
    <w:p w14:paraId="32481C87" w14:textId="77777777" w:rsidR="00661721" w:rsidRPr="0031686B" w:rsidRDefault="00661721" w:rsidP="00D16D98">
      <w:pPr>
        <w:spacing w:after="0" w:line="240" w:lineRule="auto"/>
        <w:jc w:val="both"/>
        <w:rPr>
          <w:sz w:val="22"/>
          <w:szCs w:val="22"/>
        </w:rPr>
      </w:pPr>
      <w:r w:rsidRPr="0031686B">
        <w:rPr>
          <w:sz w:val="22"/>
          <w:szCs w:val="22"/>
        </w:rPr>
        <w:t>Assisted sales and trading teams by assisting with FX and rates trade booking, preparing client reports, documenting client calls, and contributing to ad hoc projects, presentations, and KYC tasks.</w:t>
      </w:r>
    </w:p>
    <w:p w14:paraId="137B417C" w14:textId="77777777" w:rsidR="00661721" w:rsidRPr="0031686B" w:rsidRDefault="00661721" w:rsidP="00D16D98">
      <w:pPr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31686B">
        <w:rPr>
          <w:sz w:val="22"/>
          <w:szCs w:val="22"/>
        </w:rPr>
        <w:t>Drove ~15 new investment ideas per month and supported an estimated ~10% revenue increase over four months by developing weekly market reports on macroeconomic and geopolitical developments affecting LATAM FX, rates, and bonds, used by internal teams and in select client presentations.</w:t>
      </w:r>
    </w:p>
    <w:p w14:paraId="7A8BEEBC" w14:textId="77777777" w:rsidR="00661721" w:rsidRPr="0031686B" w:rsidRDefault="00661721" w:rsidP="00D16D98">
      <w:pPr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31686B">
        <w:rPr>
          <w:sz w:val="22"/>
          <w:szCs w:val="22"/>
        </w:rPr>
        <w:t>Assisted with onboarding ~5 institutional LATAM clients, including corporates, hedge funds, and pension funds, by completing KYC documentation and independently sourcing compliance information.</w:t>
      </w:r>
    </w:p>
    <w:p w14:paraId="6552A771" w14:textId="77777777" w:rsidR="00661721" w:rsidRPr="0031686B" w:rsidRDefault="00661721" w:rsidP="00D16D98">
      <w:pPr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31686B">
        <w:rPr>
          <w:sz w:val="22"/>
          <w:szCs w:val="22"/>
        </w:rPr>
        <w:t>Documented ~30 call reports and ~20 client presentations over four months on dual-currency deposits and FX hedging strategies, creating long-term client records that supported internal deal continuity and tracked client needs.</w:t>
      </w:r>
    </w:p>
    <w:p w14:paraId="2EEE91B6" w14:textId="77777777" w:rsidR="00661721" w:rsidRPr="006800A3" w:rsidRDefault="00661721" w:rsidP="006800A3">
      <w:pPr>
        <w:shd w:val="clear" w:color="auto" w:fill="D9E2F3" w:themeFill="accent1" w:themeFillTint="33"/>
        <w:spacing w:after="0"/>
        <w:jc w:val="center"/>
        <w:rPr>
          <w:color w:val="000000" w:themeColor="text1"/>
        </w:rPr>
      </w:pPr>
      <w:r w:rsidRPr="006800A3">
        <w:rPr>
          <w:b/>
          <w:bCs/>
          <w:color w:val="000000" w:themeColor="text1"/>
        </w:rPr>
        <w:t>Sales and Trading Intern (Swap Trading) | Scotiabank | Canada | 08/24 – 12/24</w:t>
      </w:r>
    </w:p>
    <w:p w14:paraId="1158D008" w14:textId="77777777" w:rsidR="00661721" w:rsidRPr="0031686B" w:rsidRDefault="00661721" w:rsidP="00D16D98">
      <w:pPr>
        <w:spacing w:after="0" w:line="240" w:lineRule="auto"/>
        <w:jc w:val="both"/>
        <w:rPr>
          <w:sz w:val="22"/>
          <w:szCs w:val="22"/>
        </w:rPr>
      </w:pPr>
      <w:r w:rsidRPr="0031686B">
        <w:rPr>
          <w:sz w:val="22"/>
          <w:szCs w:val="22"/>
        </w:rPr>
        <w:t>Supported daily trading operations on a CAD/USD rates desk, assisting with risk calculations, trade booking, and P&amp;L reporting.</w:t>
      </w:r>
    </w:p>
    <w:p w14:paraId="17317F60" w14:textId="77777777" w:rsidR="00661721" w:rsidRPr="0031686B" w:rsidRDefault="00661721" w:rsidP="00D16D98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31686B">
        <w:rPr>
          <w:sz w:val="22"/>
          <w:szCs w:val="22"/>
        </w:rPr>
        <w:t>Processed trade booking activity for USD and CAD interest rate swaps and bond products, handling ~10 trades daily, maintaining data accuracy and minimizing operational and risk-reporting errors.</w:t>
      </w:r>
    </w:p>
    <w:p w14:paraId="0839BF20" w14:textId="58A50AF4" w:rsidR="00661721" w:rsidRPr="00661721" w:rsidRDefault="00661721" w:rsidP="00D16D98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31686B">
        <w:rPr>
          <w:sz w:val="22"/>
          <w:szCs w:val="22"/>
        </w:rPr>
        <w:t>Mapped Chilean pension funds’ interest rate swap activity using public disclosures and market knowledge to help traders anticipate execution timing and adjust positioning ahead of large institutional flows.</w:t>
      </w:r>
    </w:p>
    <w:p w14:paraId="1346F1D1" w14:textId="77777777" w:rsidR="0031686B" w:rsidRPr="006800A3" w:rsidRDefault="0031686B" w:rsidP="006800A3">
      <w:pPr>
        <w:pBdr>
          <w:bottom w:val="single" w:sz="8" w:space="1" w:color="4472C4" w:themeColor="accent1"/>
        </w:pBdr>
        <w:spacing w:before="240" w:after="0"/>
        <w:rPr>
          <w:rFonts w:ascii="Cambria" w:hAnsi="Cambria"/>
          <w:color w:val="4472C4" w:themeColor="accent1"/>
          <w:sz w:val="28"/>
          <w:szCs w:val="28"/>
        </w:rPr>
      </w:pPr>
      <w:r w:rsidRPr="006800A3">
        <w:rPr>
          <w:rFonts w:ascii="Cambria" w:hAnsi="Cambria"/>
          <w:b/>
          <w:bCs/>
          <w:color w:val="4472C4" w:themeColor="accent1"/>
          <w:sz w:val="28"/>
          <w:szCs w:val="28"/>
        </w:rPr>
        <w:t>Education</w:t>
      </w:r>
    </w:p>
    <w:p w14:paraId="015AE475" w14:textId="51F1AC32" w:rsidR="0031686B" w:rsidRPr="0031686B" w:rsidRDefault="0031686B" w:rsidP="006800A3">
      <w:pPr>
        <w:spacing w:after="0"/>
        <w:rPr>
          <w:b/>
          <w:bCs/>
          <w:sz w:val="22"/>
          <w:szCs w:val="22"/>
        </w:rPr>
      </w:pPr>
      <w:r w:rsidRPr="0031686B">
        <w:rPr>
          <w:b/>
          <w:bCs/>
          <w:sz w:val="22"/>
          <w:szCs w:val="22"/>
        </w:rPr>
        <w:t>Post-Baccalaureate Diploma in Applied Data Science (GPA: 3.6)</w:t>
      </w:r>
    </w:p>
    <w:p w14:paraId="23B78D29" w14:textId="7D94FCDA" w:rsidR="0031686B" w:rsidRDefault="0031686B" w:rsidP="006800A3">
      <w:pPr>
        <w:spacing w:after="0"/>
        <w:rPr>
          <w:sz w:val="22"/>
          <w:szCs w:val="22"/>
        </w:rPr>
      </w:pPr>
      <w:r w:rsidRPr="0031686B">
        <w:rPr>
          <w:sz w:val="22"/>
          <w:szCs w:val="22"/>
        </w:rPr>
        <w:t>Thompson Rivers University (TRU) | Kamloops, BC | Accepted Graduation Data: 04/2026</w:t>
      </w:r>
    </w:p>
    <w:p w14:paraId="0EDDC949" w14:textId="108CD32B" w:rsidR="00A30EC3" w:rsidRPr="0031686B" w:rsidRDefault="00A30EC3" w:rsidP="006800A3">
      <w:pPr>
        <w:spacing w:after="0"/>
        <w:rPr>
          <w:sz w:val="22"/>
          <w:szCs w:val="22"/>
        </w:rPr>
      </w:pPr>
      <w:r>
        <w:rPr>
          <w:sz w:val="22"/>
          <w:szCs w:val="22"/>
        </w:rPr>
        <w:t>Dean’s List Fall 2025</w:t>
      </w:r>
    </w:p>
    <w:p w14:paraId="10A06C12" w14:textId="373ABC48" w:rsidR="0031686B" w:rsidRPr="0031686B" w:rsidRDefault="0031686B" w:rsidP="006800A3">
      <w:pPr>
        <w:spacing w:before="240" w:after="0"/>
        <w:rPr>
          <w:b/>
          <w:bCs/>
          <w:sz w:val="22"/>
          <w:szCs w:val="22"/>
        </w:rPr>
      </w:pPr>
      <w:r w:rsidRPr="0031686B">
        <w:rPr>
          <w:b/>
          <w:bCs/>
          <w:sz w:val="22"/>
          <w:szCs w:val="22"/>
        </w:rPr>
        <w:t>Master in Finance</w:t>
      </w:r>
      <w:r w:rsidR="006800A3">
        <w:rPr>
          <w:b/>
          <w:bCs/>
          <w:sz w:val="22"/>
          <w:szCs w:val="22"/>
        </w:rPr>
        <w:t xml:space="preserve"> | </w:t>
      </w:r>
      <w:r w:rsidRPr="0031686B">
        <w:rPr>
          <w:b/>
          <w:bCs/>
          <w:sz w:val="22"/>
          <w:szCs w:val="22"/>
        </w:rPr>
        <w:t>Bachelor in Business Administration (Economics)</w:t>
      </w:r>
    </w:p>
    <w:p w14:paraId="7EA49665" w14:textId="6355D8C4" w:rsidR="0031686B" w:rsidRPr="0031686B" w:rsidRDefault="0031686B" w:rsidP="006800A3">
      <w:pPr>
        <w:spacing w:after="0"/>
        <w:rPr>
          <w:sz w:val="22"/>
          <w:szCs w:val="22"/>
        </w:rPr>
      </w:pPr>
      <w:r w:rsidRPr="0031686B">
        <w:rPr>
          <w:sz w:val="22"/>
          <w:szCs w:val="22"/>
        </w:rPr>
        <w:t>Universidad de Chile | Santiago</w:t>
      </w:r>
    </w:p>
    <w:p w14:paraId="0B2AA16C" w14:textId="77777777" w:rsidR="0031686B" w:rsidRPr="006800A3" w:rsidRDefault="0031686B" w:rsidP="006800A3">
      <w:pPr>
        <w:pBdr>
          <w:bottom w:val="single" w:sz="8" w:space="1" w:color="4472C4" w:themeColor="accent1"/>
        </w:pBdr>
        <w:spacing w:before="240" w:after="0"/>
        <w:rPr>
          <w:rFonts w:ascii="Cambria" w:hAnsi="Cambria"/>
          <w:b/>
          <w:bCs/>
          <w:color w:val="4472C4" w:themeColor="accent1"/>
          <w:sz w:val="28"/>
          <w:szCs w:val="28"/>
        </w:rPr>
      </w:pPr>
      <w:r w:rsidRPr="006800A3">
        <w:rPr>
          <w:rFonts w:ascii="Cambria" w:hAnsi="Cambria"/>
          <w:b/>
          <w:bCs/>
          <w:color w:val="4472C4" w:themeColor="accent1"/>
          <w:sz w:val="28"/>
          <w:szCs w:val="28"/>
        </w:rPr>
        <w:t>Certifications</w:t>
      </w:r>
    </w:p>
    <w:p w14:paraId="7D7F621B" w14:textId="7DC3487D" w:rsidR="0031686B" w:rsidRPr="0031686B" w:rsidRDefault="0031686B" w:rsidP="006800A3">
      <w:pPr>
        <w:spacing w:after="0"/>
        <w:rPr>
          <w:sz w:val="22"/>
          <w:szCs w:val="22"/>
        </w:rPr>
      </w:pPr>
      <w:r w:rsidRPr="00240136">
        <w:rPr>
          <w:b/>
          <w:bCs/>
          <w:sz w:val="22"/>
          <w:szCs w:val="22"/>
        </w:rPr>
        <w:t>Applied Data Science</w:t>
      </w:r>
      <w:r w:rsidRPr="0031686B">
        <w:rPr>
          <w:sz w:val="22"/>
          <w:szCs w:val="22"/>
        </w:rPr>
        <w:t xml:space="preserve"> |MIT Professional Education | 2023</w:t>
      </w:r>
    </w:p>
    <w:p w14:paraId="29D2ACE4" w14:textId="77777777" w:rsidR="00EC4082" w:rsidRPr="0031686B" w:rsidRDefault="00EC4082" w:rsidP="0031686B">
      <w:pPr>
        <w:spacing w:before="240" w:after="0"/>
        <w:rPr>
          <w:sz w:val="22"/>
          <w:szCs w:val="22"/>
        </w:rPr>
      </w:pPr>
    </w:p>
    <w:sectPr w:rsidR="00EC4082" w:rsidRPr="0031686B" w:rsidSect="006617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9965" w14:textId="77777777" w:rsidR="00573A32" w:rsidRDefault="00573A32" w:rsidP="00661721">
      <w:pPr>
        <w:spacing w:after="0" w:line="240" w:lineRule="auto"/>
      </w:pPr>
      <w:r>
        <w:separator/>
      </w:r>
    </w:p>
  </w:endnote>
  <w:endnote w:type="continuationSeparator" w:id="0">
    <w:p w14:paraId="0A61AF49" w14:textId="77777777" w:rsidR="00573A32" w:rsidRDefault="00573A32" w:rsidP="0066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7386" w14:textId="77777777" w:rsidR="00573A32" w:rsidRDefault="00573A32" w:rsidP="00661721">
      <w:pPr>
        <w:spacing w:after="0" w:line="240" w:lineRule="auto"/>
      </w:pPr>
      <w:r>
        <w:separator/>
      </w:r>
    </w:p>
  </w:footnote>
  <w:footnote w:type="continuationSeparator" w:id="0">
    <w:p w14:paraId="766E7BDE" w14:textId="77777777" w:rsidR="00573A32" w:rsidRDefault="00573A32" w:rsidP="00661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DB8"/>
    <w:multiLevelType w:val="multilevel"/>
    <w:tmpl w:val="88DE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744EF"/>
    <w:multiLevelType w:val="multilevel"/>
    <w:tmpl w:val="A7482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6913E8"/>
    <w:multiLevelType w:val="multilevel"/>
    <w:tmpl w:val="D06E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E38EA"/>
    <w:multiLevelType w:val="multilevel"/>
    <w:tmpl w:val="3920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5685E"/>
    <w:multiLevelType w:val="multilevel"/>
    <w:tmpl w:val="7A5A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12A83"/>
    <w:multiLevelType w:val="multilevel"/>
    <w:tmpl w:val="29B2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33764"/>
    <w:multiLevelType w:val="multilevel"/>
    <w:tmpl w:val="4A2A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523CD2"/>
    <w:multiLevelType w:val="multilevel"/>
    <w:tmpl w:val="2A6E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902248">
    <w:abstractNumId w:val="6"/>
  </w:num>
  <w:num w:numId="2" w16cid:durableId="1301157905">
    <w:abstractNumId w:val="0"/>
  </w:num>
  <w:num w:numId="3" w16cid:durableId="517894228">
    <w:abstractNumId w:val="5"/>
  </w:num>
  <w:num w:numId="4" w16cid:durableId="953051646">
    <w:abstractNumId w:val="2"/>
  </w:num>
  <w:num w:numId="5" w16cid:durableId="1389839965">
    <w:abstractNumId w:val="7"/>
  </w:num>
  <w:num w:numId="6" w16cid:durableId="487139191">
    <w:abstractNumId w:val="4"/>
  </w:num>
  <w:num w:numId="7" w16cid:durableId="1619945740">
    <w:abstractNumId w:val="3"/>
  </w:num>
  <w:num w:numId="8" w16cid:durableId="39324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3A"/>
    <w:rsid w:val="000F1050"/>
    <w:rsid w:val="00157241"/>
    <w:rsid w:val="00240136"/>
    <w:rsid w:val="00272145"/>
    <w:rsid w:val="003121F0"/>
    <w:rsid w:val="0031686B"/>
    <w:rsid w:val="00321FE3"/>
    <w:rsid w:val="003F283A"/>
    <w:rsid w:val="004B0C18"/>
    <w:rsid w:val="00514E93"/>
    <w:rsid w:val="00532F9B"/>
    <w:rsid w:val="00560A51"/>
    <w:rsid w:val="00573A32"/>
    <w:rsid w:val="005D0793"/>
    <w:rsid w:val="005E48A4"/>
    <w:rsid w:val="00661721"/>
    <w:rsid w:val="006800A3"/>
    <w:rsid w:val="007D2716"/>
    <w:rsid w:val="009223F4"/>
    <w:rsid w:val="009C13CF"/>
    <w:rsid w:val="00A30EC3"/>
    <w:rsid w:val="00B05D63"/>
    <w:rsid w:val="00B8475F"/>
    <w:rsid w:val="00C626AE"/>
    <w:rsid w:val="00C973CD"/>
    <w:rsid w:val="00CD3BDE"/>
    <w:rsid w:val="00D16D98"/>
    <w:rsid w:val="00E46F7E"/>
    <w:rsid w:val="00E61E5F"/>
    <w:rsid w:val="00EB7068"/>
    <w:rsid w:val="00EC4082"/>
    <w:rsid w:val="00F42ADF"/>
    <w:rsid w:val="00F56977"/>
    <w:rsid w:val="00F9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8730"/>
  <w15:chartTrackingRefBased/>
  <w15:docId w15:val="{B7773DB2-CED6-4731-8CA4-6FF30D4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8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8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8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8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83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1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721"/>
  </w:style>
  <w:style w:type="paragraph" w:styleId="Footer">
    <w:name w:val="footer"/>
    <w:basedOn w:val="Normal"/>
    <w:link w:val="FooterChar"/>
    <w:uiPriority w:val="99"/>
    <w:unhideWhenUsed/>
    <w:rsid w:val="00661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Cynthia Urrutia</cp:lastModifiedBy>
  <cp:revision>10</cp:revision>
  <dcterms:created xsi:type="dcterms:W3CDTF">2026-02-05T17:58:00Z</dcterms:created>
  <dcterms:modified xsi:type="dcterms:W3CDTF">2026-03-13T18:45:00Z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60310ff2-3ee0-4923-85a8-cbc55e1d3b65</vt:lpwstr>
  </property>
</Properties>
</file>